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69FC2" w14:textId="09373111" w:rsidR="005E50F6" w:rsidRDefault="005E50F6" w:rsidP="008B06A1">
      <w:pPr>
        <w:spacing w:before="100" w:beforeAutospacing="1" w:after="100" w:afterAutospacing="1"/>
        <w:jc w:val="center"/>
        <w:rPr>
          <w:rFonts w:ascii="Book Antiqua" w:hAnsi="Book Antiqua"/>
          <w:b/>
          <w:bCs/>
          <w:sz w:val="27"/>
          <w:szCs w:val="27"/>
        </w:rPr>
      </w:pPr>
      <w:r w:rsidRPr="008B06A1">
        <w:rPr>
          <w:rFonts w:ascii="Book Antiqua" w:hAnsi="Book Antiqua"/>
          <w:b/>
          <w:bCs/>
          <w:i/>
          <w:iCs/>
          <w:sz w:val="27"/>
          <w:szCs w:val="27"/>
        </w:rPr>
        <w:t>Romeo and Juliet</w:t>
      </w:r>
      <w:r w:rsidR="008B06A1">
        <w:rPr>
          <w:rFonts w:ascii="Book Antiqua" w:hAnsi="Book Antiqua"/>
          <w:b/>
          <w:bCs/>
          <w:sz w:val="27"/>
          <w:szCs w:val="27"/>
        </w:rPr>
        <w:t xml:space="preserve"> Assessment: Constructed Response</w:t>
      </w:r>
    </w:p>
    <w:p w14:paraId="256201DD" w14:textId="0D57F0DF" w:rsidR="008B06A1" w:rsidRPr="00350E84" w:rsidRDefault="008B06A1" w:rsidP="008B06A1">
      <w:pPr>
        <w:spacing w:before="100" w:beforeAutospacing="1" w:after="100" w:afterAutospacing="1"/>
        <w:jc w:val="center"/>
        <w:rPr>
          <w:rFonts w:ascii="Book Antiqua" w:hAnsi="Book Antiqua"/>
          <w:sz w:val="27"/>
          <w:szCs w:val="27"/>
        </w:rPr>
      </w:pPr>
      <w:r w:rsidRPr="00350E84">
        <w:rPr>
          <w:rFonts w:ascii="Book Antiqua" w:hAnsi="Book Antiqua"/>
          <w:sz w:val="27"/>
          <w:szCs w:val="27"/>
        </w:rPr>
        <w:t xml:space="preserve">Choose </w:t>
      </w:r>
      <w:r w:rsidR="00350E84">
        <w:rPr>
          <w:rFonts w:ascii="Book Antiqua" w:hAnsi="Book Antiqua"/>
          <w:i/>
          <w:iCs/>
          <w:sz w:val="27"/>
          <w:szCs w:val="27"/>
        </w:rPr>
        <w:t>two</w:t>
      </w:r>
      <w:r w:rsidRPr="00350E84">
        <w:rPr>
          <w:rFonts w:ascii="Book Antiqua" w:hAnsi="Book Antiqua"/>
          <w:sz w:val="27"/>
          <w:szCs w:val="27"/>
        </w:rPr>
        <w:t xml:space="preserve"> questions</w:t>
      </w:r>
      <w:r w:rsidR="00350E84" w:rsidRPr="00350E84">
        <w:rPr>
          <w:rFonts w:ascii="Book Antiqua" w:hAnsi="Book Antiqua"/>
          <w:sz w:val="27"/>
          <w:szCs w:val="27"/>
        </w:rPr>
        <w:t xml:space="preserve"> and </w:t>
      </w:r>
      <w:r w:rsidRPr="00350E84">
        <w:rPr>
          <w:rFonts w:ascii="Book Antiqua" w:hAnsi="Book Antiqua"/>
          <w:sz w:val="27"/>
          <w:szCs w:val="27"/>
        </w:rPr>
        <w:t xml:space="preserve">respond in </w:t>
      </w:r>
      <w:r w:rsidR="00350E84">
        <w:rPr>
          <w:rFonts w:ascii="Book Antiqua" w:hAnsi="Book Antiqua"/>
          <w:sz w:val="27"/>
          <w:szCs w:val="27"/>
        </w:rPr>
        <w:t>two</w:t>
      </w:r>
      <w:r w:rsidRPr="00350E84">
        <w:rPr>
          <w:rFonts w:ascii="Book Antiqua" w:hAnsi="Book Antiqua"/>
          <w:sz w:val="27"/>
          <w:szCs w:val="27"/>
        </w:rPr>
        <w:t xml:space="preserve"> well developed paragraph</w:t>
      </w:r>
      <w:r w:rsidR="00350E84" w:rsidRPr="00350E84">
        <w:rPr>
          <w:rFonts w:ascii="Book Antiqua" w:hAnsi="Book Antiqua"/>
          <w:sz w:val="27"/>
          <w:szCs w:val="27"/>
        </w:rPr>
        <w:t>s</w:t>
      </w:r>
      <w:r w:rsidRPr="00350E84">
        <w:rPr>
          <w:rFonts w:ascii="Book Antiqua" w:hAnsi="Book Antiqua"/>
          <w:sz w:val="27"/>
          <w:szCs w:val="27"/>
        </w:rPr>
        <w:t xml:space="preserve"> that utilize textual evidence </w:t>
      </w:r>
      <w:r w:rsidR="00350E84" w:rsidRPr="00350E84">
        <w:rPr>
          <w:rFonts w:ascii="Book Antiqua" w:hAnsi="Book Antiqua"/>
          <w:sz w:val="27"/>
          <w:szCs w:val="27"/>
        </w:rPr>
        <w:t xml:space="preserve">(quotes) </w:t>
      </w:r>
      <w:r w:rsidRPr="00350E84">
        <w:rPr>
          <w:rFonts w:ascii="Book Antiqua" w:hAnsi="Book Antiqua"/>
          <w:sz w:val="27"/>
          <w:szCs w:val="27"/>
        </w:rPr>
        <w:t>from the play</w:t>
      </w:r>
      <w:r w:rsidR="00350E84" w:rsidRPr="00350E84">
        <w:rPr>
          <w:rFonts w:ascii="Book Antiqua" w:hAnsi="Book Antiqua"/>
          <w:sz w:val="27"/>
          <w:szCs w:val="27"/>
        </w:rPr>
        <w:t>. Each paragraph should have at least 3 quotes. The citation after your quote should contain (</w:t>
      </w:r>
      <w:proofErr w:type="spellStart"/>
      <w:r w:rsidR="00350E84" w:rsidRPr="00350E84">
        <w:rPr>
          <w:rFonts w:ascii="Book Antiqua" w:hAnsi="Book Antiqua"/>
          <w:sz w:val="27"/>
          <w:szCs w:val="27"/>
        </w:rPr>
        <w:t>Act.Scene.Lines</w:t>
      </w:r>
      <w:proofErr w:type="spellEnd"/>
      <w:r w:rsidR="00350E84" w:rsidRPr="00350E84">
        <w:rPr>
          <w:rFonts w:ascii="Book Antiqua" w:hAnsi="Book Antiqua"/>
          <w:sz w:val="27"/>
          <w:szCs w:val="27"/>
        </w:rPr>
        <w:t>), so if it is from Act 2, Scene 3, lines 45-47, the citation would read: (2.3.45-47)</w:t>
      </w:r>
      <w:r w:rsidR="00350E84">
        <w:rPr>
          <w:rFonts w:ascii="Book Antiqua" w:hAnsi="Book Antiqua"/>
          <w:sz w:val="27"/>
          <w:szCs w:val="27"/>
        </w:rPr>
        <w:t xml:space="preserve">. In citing plays, we </w:t>
      </w:r>
      <w:r w:rsidR="00350E84" w:rsidRPr="00350E84">
        <w:rPr>
          <w:rFonts w:ascii="Book Antiqua" w:hAnsi="Book Antiqua"/>
          <w:i/>
          <w:iCs/>
          <w:sz w:val="27"/>
          <w:szCs w:val="27"/>
        </w:rPr>
        <w:t>never</w:t>
      </w:r>
      <w:r w:rsidR="00350E84">
        <w:rPr>
          <w:rFonts w:ascii="Book Antiqua" w:hAnsi="Book Antiqua"/>
          <w:sz w:val="27"/>
          <w:szCs w:val="27"/>
        </w:rPr>
        <w:t xml:space="preserve"> use page numbers.</w:t>
      </w:r>
    </w:p>
    <w:p w14:paraId="35DBB7B5" w14:textId="07ED68DD" w:rsidR="005E50F6" w:rsidRPr="008B06A1" w:rsidRDefault="005E50F6" w:rsidP="005E50F6">
      <w:pPr>
        <w:rPr>
          <w:rFonts w:ascii="Book Antiqua" w:hAnsi="Book Antiqua"/>
        </w:rPr>
      </w:pPr>
      <w:r w:rsidRPr="008B06A1">
        <w:rPr>
          <w:rFonts w:ascii="Book Antiqua" w:hAnsi="Book Antiqua"/>
          <w:b/>
          <w:bCs/>
        </w:rPr>
        <w:t>1)</w:t>
      </w:r>
      <w:r w:rsidRPr="008B06A1">
        <w:rPr>
          <w:rFonts w:ascii="Book Antiqua" w:hAnsi="Book Antiqua"/>
        </w:rPr>
        <w:t xml:space="preserve"> Discuss the character of Romeo and his infatuation with Rosaline. Does this weaken the credibility of the love he feels for Juliet? </w:t>
      </w:r>
      <w:r w:rsidR="000B41E3" w:rsidRPr="008B06A1">
        <w:rPr>
          <w:rFonts w:ascii="Book Antiqua" w:hAnsi="Book Antiqua"/>
        </w:rPr>
        <w:t xml:space="preserve">Compare and contrast the love Romeo has </w:t>
      </w:r>
      <w:r w:rsidR="008B06A1" w:rsidRPr="008B06A1">
        <w:rPr>
          <w:rFonts w:ascii="Book Antiqua" w:hAnsi="Book Antiqua"/>
        </w:rPr>
        <w:t xml:space="preserve">for </w:t>
      </w:r>
      <w:r w:rsidR="000B41E3" w:rsidRPr="008B06A1">
        <w:rPr>
          <w:rFonts w:ascii="Book Antiqua" w:hAnsi="Book Antiqua"/>
        </w:rPr>
        <w:t>one vs. the other.</w:t>
      </w:r>
    </w:p>
    <w:p w14:paraId="27E47E62" w14:textId="1CFC7016" w:rsidR="000B41E3" w:rsidRPr="008B06A1" w:rsidRDefault="005E50F6" w:rsidP="005E50F6">
      <w:pPr>
        <w:spacing w:before="100" w:beforeAutospacing="1" w:after="100" w:afterAutospacing="1"/>
        <w:rPr>
          <w:rFonts w:ascii="Book Antiqua" w:hAnsi="Book Antiqua"/>
        </w:rPr>
      </w:pPr>
      <w:r w:rsidRPr="008B06A1">
        <w:rPr>
          <w:rFonts w:ascii="Book Antiqua" w:hAnsi="Book Antiqua"/>
          <w:b/>
          <w:bCs/>
        </w:rPr>
        <w:t>2)</w:t>
      </w:r>
      <w:r w:rsidRPr="008B06A1">
        <w:rPr>
          <w:rFonts w:ascii="Book Antiqua" w:hAnsi="Book Antiqua"/>
        </w:rPr>
        <w:t xml:space="preserve"> </w:t>
      </w:r>
      <w:r w:rsidR="000B41E3" w:rsidRPr="008B06A1">
        <w:rPr>
          <w:rFonts w:ascii="Book Antiqua" w:hAnsi="Book Antiqua"/>
        </w:rPr>
        <w:t>Examine Shakespeare’s use of Dramatic Foils in the play. How do the characteristics of the one highlight the characteristics of the other? Possible examples: Benvolio/Mercutio; Romeo/Mercutio; Juliet/Nurse; Romeo/Friar Lawrence; Nurse/Lady Capulet.</w:t>
      </w:r>
    </w:p>
    <w:p w14:paraId="419506E4" w14:textId="4D79657A" w:rsidR="005E50F6" w:rsidRPr="008B06A1" w:rsidRDefault="008B06A1" w:rsidP="005E50F6">
      <w:pPr>
        <w:spacing w:before="100" w:beforeAutospacing="1" w:after="100" w:afterAutospacing="1"/>
        <w:rPr>
          <w:rFonts w:ascii="Book Antiqua" w:hAnsi="Book Antiqua"/>
        </w:rPr>
      </w:pPr>
      <w:r w:rsidRPr="008B06A1">
        <w:rPr>
          <w:rFonts w:ascii="Book Antiqua" w:hAnsi="Book Antiqua"/>
          <w:b/>
          <w:bCs/>
        </w:rPr>
        <w:t>3</w:t>
      </w:r>
      <w:r w:rsidR="005E50F6" w:rsidRPr="008B06A1">
        <w:rPr>
          <w:rFonts w:ascii="Book Antiqua" w:hAnsi="Book Antiqua"/>
          <w:b/>
          <w:bCs/>
        </w:rPr>
        <w:t>)</w:t>
      </w:r>
      <w:r w:rsidR="005E50F6" w:rsidRPr="008B06A1">
        <w:rPr>
          <w:rFonts w:ascii="Book Antiqua" w:hAnsi="Book Antiqua"/>
        </w:rPr>
        <w:t xml:space="preserve"> Examine the role of women in </w:t>
      </w:r>
      <w:r w:rsidR="005E50F6" w:rsidRPr="008B06A1">
        <w:rPr>
          <w:rFonts w:ascii="Book Antiqua" w:hAnsi="Book Antiqua"/>
          <w:i/>
          <w:iCs/>
        </w:rPr>
        <w:t>Romeo and Juliet</w:t>
      </w:r>
      <w:r w:rsidR="005E50F6" w:rsidRPr="008B06A1">
        <w:rPr>
          <w:rFonts w:ascii="Book Antiqua" w:hAnsi="Book Antiqua"/>
        </w:rPr>
        <w:t xml:space="preserve">. </w:t>
      </w:r>
    </w:p>
    <w:p w14:paraId="0D364028" w14:textId="672C1E8A" w:rsidR="005E50F6" w:rsidRPr="008B06A1" w:rsidRDefault="008B06A1" w:rsidP="005E50F6">
      <w:pPr>
        <w:spacing w:before="100" w:beforeAutospacing="1" w:after="100" w:afterAutospacing="1"/>
        <w:rPr>
          <w:rFonts w:ascii="Book Antiqua" w:hAnsi="Book Antiqua"/>
        </w:rPr>
      </w:pPr>
      <w:r w:rsidRPr="008B06A1">
        <w:rPr>
          <w:rFonts w:ascii="Book Antiqua" w:hAnsi="Book Antiqua"/>
          <w:b/>
          <w:bCs/>
        </w:rPr>
        <w:t>4</w:t>
      </w:r>
      <w:r w:rsidR="005E50F6" w:rsidRPr="008B06A1">
        <w:rPr>
          <w:rFonts w:ascii="Book Antiqua" w:hAnsi="Book Antiqua"/>
          <w:b/>
          <w:bCs/>
        </w:rPr>
        <w:t>)</w:t>
      </w:r>
      <w:r w:rsidR="005E50F6" w:rsidRPr="008B06A1">
        <w:rPr>
          <w:rFonts w:ascii="Book Antiqua" w:hAnsi="Book Antiqua"/>
        </w:rPr>
        <w:t xml:space="preserve"> Romeo and Juliet are referred to as "star-</w:t>
      </w:r>
      <w:proofErr w:type="spellStart"/>
      <w:r w:rsidR="005E50F6" w:rsidRPr="008B06A1">
        <w:rPr>
          <w:rFonts w:ascii="Book Antiqua" w:hAnsi="Book Antiqua"/>
        </w:rPr>
        <w:t>cross'd</w:t>
      </w:r>
      <w:proofErr w:type="spellEnd"/>
      <w:r w:rsidR="005E50F6" w:rsidRPr="008B06A1">
        <w:rPr>
          <w:rFonts w:ascii="Book Antiqua" w:hAnsi="Book Antiqua"/>
        </w:rPr>
        <w:t xml:space="preserve"> lovers". Discuss the concept of predetermined destiny and how it relates to the play. </w:t>
      </w:r>
      <w:r w:rsidRPr="008B06A1">
        <w:rPr>
          <w:rFonts w:ascii="Book Antiqua" w:hAnsi="Book Antiqua"/>
        </w:rPr>
        <w:t>In what ways does Shakespeare weave this thematic thread throughout the first two acts.</w:t>
      </w:r>
    </w:p>
    <w:p w14:paraId="75480483" w14:textId="66EBB2DA" w:rsidR="005E50F6" w:rsidRPr="008B06A1" w:rsidRDefault="008B06A1" w:rsidP="005E50F6">
      <w:pPr>
        <w:spacing w:before="100" w:beforeAutospacing="1" w:after="100" w:afterAutospacing="1"/>
        <w:rPr>
          <w:rFonts w:ascii="Book Antiqua" w:hAnsi="Book Antiqua"/>
        </w:rPr>
      </w:pPr>
      <w:r w:rsidRPr="008B06A1">
        <w:rPr>
          <w:rFonts w:ascii="Book Antiqua" w:hAnsi="Book Antiqua"/>
          <w:b/>
          <w:bCs/>
        </w:rPr>
        <w:t>5</w:t>
      </w:r>
      <w:r w:rsidR="005E50F6" w:rsidRPr="008B06A1">
        <w:rPr>
          <w:rFonts w:ascii="Book Antiqua" w:hAnsi="Book Antiqua"/>
          <w:b/>
          <w:bCs/>
        </w:rPr>
        <w:t>)</w:t>
      </w:r>
      <w:r w:rsidR="005E50F6" w:rsidRPr="008B06A1">
        <w:rPr>
          <w:rFonts w:ascii="Book Antiqua" w:hAnsi="Book Antiqua"/>
        </w:rPr>
        <w:t xml:space="preserve"> Discuss Juliet's soliloquy that opens Act 3, Scene 2, paying particular attention to its poetic merits and relevance to the overall play. </w:t>
      </w:r>
    </w:p>
    <w:p w14:paraId="66E20874" w14:textId="01C06186" w:rsidR="005E50F6" w:rsidRDefault="008B06A1" w:rsidP="005E50F6">
      <w:pPr>
        <w:spacing w:before="100" w:beforeAutospacing="1" w:after="100" w:afterAutospacing="1"/>
        <w:rPr>
          <w:rFonts w:ascii="Book Antiqua" w:hAnsi="Book Antiqua"/>
        </w:rPr>
      </w:pPr>
      <w:r w:rsidRPr="008B06A1">
        <w:rPr>
          <w:rFonts w:ascii="Book Antiqua" w:hAnsi="Book Antiqua"/>
          <w:b/>
          <w:bCs/>
        </w:rPr>
        <w:t>6</w:t>
      </w:r>
      <w:r w:rsidR="005E50F6" w:rsidRPr="008B06A1">
        <w:rPr>
          <w:rFonts w:ascii="Book Antiqua" w:hAnsi="Book Antiqua"/>
          <w:b/>
          <w:bCs/>
        </w:rPr>
        <w:t>)</w:t>
      </w:r>
      <w:r w:rsidR="005E50F6" w:rsidRPr="008B06A1">
        <w:rPr>
          <w:rFonts w:ascii="Book Antiqua" w:hAnsi="Book Antiqua"/>
        </w:rPr>
        <w:t xml:space="preserve"> </w:t>
      </w:r>
      <w:r w:rsidRPr="008B06A1">
        <w:rPr>
          <w:rFonts w:ascii="Book Antiqua" w:hAnsi="Book Antiqua"/>
        </w:rPr>
        <w:t>Analyze Shakespeare’s use of imagery associated with light and Juliet. Discuss the figurative language that compares Juliet to sources of light.</w:t>
      </w:r>
      <w:r w:rsidR="005E50F6" w:rsidRPr="008B06A1">
        <w:rPr>
          <w:rFonts w:ascii="Book Antiqua" w:hAnsi="Book Antiqua"/>
        </w:rPr>
        <w:t xml:space="preserve"> </w:t>
      </w:r>
    </w:p>
    <w:p w14:paraId="4C6A023C" w14:textId="6F59DBCB" w:rsidR="00350E84" w:rsidRPr="00350E84" w:rsidRDefault="00350E84" w:rsidP="005E50F6">
      <w:pPr>
        <w:spacing w:before="100" w:beforeAutospacing="1" w:after="100" w:afterAutospacing="1"/>
        <w:rPr>
          <w:rFonts w:ascii="Book Antiqua" w:hAnsi="Book Antiqua"/>
          <w:b/>
          <w:bCs/>
        </w:rPr>
      </w:pPr>
      <w:r w:rsidRPr="00350E84">
        <w:rPr>
          <w:rFonts w:ascii="Book Antiqua" w:hAnsi="Book Antiqua"/>
          <w:b/>
          <w:bCs/>
        </w:rPr>
        <w:t>Cut and past the prompts you choose into a new document</w:t>
      </w:r>
      <w:r>
        <w:rPr>
          <w:rFonts w:ascii="Book Antiqua" w:hAnsi="Book Antiqua"/>
          <w:b/>
          <w:bCs/>
        </w:rPr>
        <w:t xml:space="preserve"> with your response</w:t>
      </w:r>
      <w:r w:rsidR="00DB14F7">
        <w:rPr>
          <w:rFonts w:ascii="Book Antiqua" w:hAnsi="Book Antiqua"/>
          <w:b/>
          <w:bCs/>
        </w:rPr>
        <w:t>s</w:t>
      </w:r>
      <w:r>
        <w:rPr>
          <w:rFonts w:ascii="Book Antiqua" w:hAnsi="Book Antiqua"/>
          <w:b/>
          <w:bCs/>
        </w:rPr>
        <w:t>. You will then upload th</w:t>
      </w:r>
      <w:r w:rsidR="00DB14F7">
        <w:rPr>
          <w:rFonts w:ascii="Book Antiqua" w:hAnsi="Book Antiqua"/>
          <w:b/>
          <w:bCs/>
        </w:rPr>
        <w:t>at</w:t>
      </w:r>
      <w:r>
        <w:rPr>
          <w:rFonts w:ascii="Book Antiqua" w:hAnsi="Book Antiqua"/>
          <w:b/>
          <w:bCs/>
        </w:rPr>
        <w:t xml:space="preserve"> document into Turnitin.com.</w:t>
      </w:r>
      <w:bookmarkStart w:id="0" w:name="_GoBack"/>
      <w:bookmarkEnd w:id="0"/>
    </w:p>
    <w:sectPr w:rsidR="00350E84" w:rsidRPr="00350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0F6"/>
    <w:rsid w:val="000A7BD0"/>
    <w:rsid w:val="000B41E3"/>
    <w:rsid w:val="00350E84"/>
    <w:rsid w:val="005E50F6"/>
    <w:rsid w:val="008B06A1"/>
    <w:rsid w:val="00A74322"/>
    <w:rsid w:val="00DB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C89AC"/>
  <w15:chartTrackingRefBased/>
  <w15:docId w15:val="{FA3D13E6-F50E-414B-971A-C9D2F7965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E50F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2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Holman</dc:creator>
  <cp:keywords/>
  <dc:description/>
  <cp:lastModifiedBy>George Holman</cp:lastModifiedBy>
  <cp:revision>1</cp:revision>
  <dcterms:created xsi:type="dcterms:W3CDTF">2020-03-16T13:25:00Z</dcterms:created>
  <dcterms:modified xsi:type="dcterms:W3CDTF">2020-03-16T14:13:00Z</dcterms:modified>
</cp:coreProperties>
</file>